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B26" w:rsidRPr="00BE7760" w:rsidRDefault="00E16B26" w:rsidP="00E16B26">
      <w:pPr>
        <w:spacing w:line="360" w:lineRule="auto"/>
        <w:jc w:val="center"/>
        <w:rPr>
          <w:sz w:val="28"/>
          <w:szCs w:val="28"/>
        </w:rPr>
      </w:pPr>
      <w:r w:rsidRPr="00BE7760">
        <w:rPr>
          <w:sz w:val="28"/>
          <w:szCs w:val="28"/>
        </w:rPr>
        <w:t>Хавф-хатарларни тахлиллаш ва бошқариш</w:t>
      </w:r>
    </w:p>
    <w:p w:rsidR="00E16B26" w:rsidRPr="00BE7760" w:rsidRDefault="00E16B26" w:rsidP="00E16B26">
      <w:pPr>
        <w:spacing w:line="360" w:lineRule="auto"/>
        <w:ind w:firstLine="720"/>
        <w:jc w:val="both"/>
        <w:rPr>
          <w:sz w:val="28"/>
          <w:szCs w:val="28"/>
        </w:rPr>
      </w:pPr>
    </w:p>
    <w:p w:rsidR="00E16B26" w:rsidRPr="00BE7760" w:rsidRDefault="00E16B26" w:rsidP="00E16B26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Хавф-хатарларни тахлиллаш ва бошқариш ахборот тизимидаги тахдидлар, з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ифликлар ва хавф-хатарларни баҳолаш, ҳамда ушбу ахборот тизими хавфсизлиг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нинг етарли даражасини таъминловчи қарши чораларни аниқлаш учун ишлатилади.</w:t>
      </w:r>
    </w:p>
    <w:p w:rsidR="00E16B26" w:rsidRPr="00BE7760" w:rsidRDefault="00E16B26" w:rsidP="00E16B26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Хавф-хатарларни тахлиллаш-тахдидларни, заифликларни ва корпор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тив ахборот тизими хавфсизлигига бўлиши мумкин бўлган зарарларни аниқлаш жараёни. Хавф-хатарларни тахлиллашдан мақсад мавжуд хавф-хатарларни аниқлаш ва улар меъёрини баҳолаш (уларга миқдорий баҳо б</w:t>
      </w:r>
      <w:r w:rsidRPr="00BE7760">
        <w:rPr>
          <w:sz w:val="28"/>
          <w:szCs w:val="28"/>
        </w:rPr>
        <w:t>е</w:t>
      </w:r>
      <w:r w:rsidRPr="00BE7760">
        <w:rPr>
          <w:sz w:val="28"/>
          <w:szCs w:val="28"/>
        </w:rPr>
        <w:t>риш). Хавф-хатарларни тахлиллаш компьютер ахборот тизими хавфсизлиг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ни текшириш бўйича тадбирни ўз ичига олади. Бу тадбирга биноан қайси р</w:t>
      </w:r>
      <w:r w:rsidRPr="00BE7760">
        <w:rPr>
          <w:sz w:val="28"/>
          <w:szCs w:val="28"/>
        </w:rPr>
        <w:t>е</w:t>
      </w:r>
      <w:r w:rsidRPr="00BE7760">
        <w:rPr>
          <w:sz w:val="28"/>
          <w:szCs w:val="28"/>
        </w:rPr>
        <w:t>сурсларни қайси тахдидлардан ҳимоялаш зарурлиги ҳамда у ёки бу р</w:t>
      </w:r>
      <w:r w:rsidRPr="00BE7760">
        <w:rPr>
          <w:sz w:val="28"/>
          <w:szCs w:val="28"/>
        </w:rPr>
        <w:t>е</w:t>
      </w:r>
      <w:r w:rsidRPr="00BE7760">
        <w:rPr>
          <w:sz w:val="28"/>
          <w:szCs w:val="28"/>
        </w:rPr>
        <w:t>сурслар қандай даражада ҳимояга муҳтож эканлиги аниқланади.</w:t>
      </w:r>
    </w:p>
    <w:p w:rsidR="00E16B26" w:rsidRPr="00BE7760" w:rsidRDefault="00E16B26" w:rsidP="00E16B26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Хавф-хатарларни тахлиллашга турли ёндашишлар мавжуд. Ёндаши</w:t>
      </w:r>
      <w:r w:rsidRPr="00BE7760">
        <w:rPr>
          <w:sz w:val="28"/>
          <w:szCs w:val="28"/>
        </w:rPr>
        <w:t>ш</w:t>
      </w:r>
      <w:r w:rsidRPr="00BE7760">
        <w:rPr>
          <w:sz w:val="28"/>
          <w:szCs w:val="28"/>
        </w:rPr>
        <w:t>ни танлаш ташкилотда ахборот хавфсизлиги режимига қуйиладиган тала</w:t>
      </w:r>
      <w:r w:rsidRPr="00BE7760">
        <w:rPr>
          <w:sz w:val="28"/>
          <w:szCs w:val="28"/>
        </w:rPr>
        <w:t>б</w:t>
      </w:r>
      <w:r w:rsidRPr="00BE7760">
        <w:rPr>
          <w:sz w:val="28"/>
          <w:szCs w:val="28"/>
        </w:rPr>
        <w:t>лар даражасига ва эътиборга олинувчи тахдидлар характерига (тахдидлар таъс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ри спектрига) боғлиқ. Талабларнинг иккита даражаси фарқланади:</w:t>
      </w:r>
    </w:p>
    <w:p w:rsidR="00E16B26" w:rsidRPr="00BE7760" w:rsidRDefault="00E16B26" w:rsidP="00E16B26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ахборот хавфсизлиги режимига минимал талаблар;</w:t>
      </w:r>
    </w:p>
    <w:p w:rsidR="00E16B26" w:rsidRPr="00BE7760" w:rsidRDefault="00E16B26" w:rsidP="00E16B26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ахборот хавфсизлиги режимига оширилган талаблар.</w:t>
      </w:r>
    </w:p>
    <w:p w:rsidR="00E16B26" w:rsidRPr="00BE7760" w:rsidRDefault="00E16B26" w:rsidP="00E16B26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Ахборот хавфсизлиги режимига минимал талаблар ахборот хавфсизл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гининг базавий даражасига мос келади. Бу даражадан, одатда, намунавий лойиҳа ечимларида фойдаланилади. Хавф-хатарларни тахлиллаш соддала</w:t>
      </w:r>
      <w:r w:rsidRPr="00BE7760">
        <w:rPr>
          <w:sz w:val="28"/>
          <w:szCs w:val="28"/>
        </w:rPr>
        <w:t>ш</w:t>
      </w:r>
      <w:r w:rsidRPr="00BE7760">
        <w:rPr>
          <w:sz w:val="28"/>
          <w:szCs w:val="28"/>
        </w:rPr>
        <w:t>тирилган схема бўйича ўтказилади: хавфсизликка тахдидларнинг кўп тарқалган набори уларнинг эҳтимоллигини баҳоламасдан кўрилади. Виру</w:t>
      </w:r>
      <w:r w:rsidRPr="00BE7760">
        <w:rPr>
          <w:sz w:val="28"/>
          <w:szCs w:val="28"/>
        </w:rPr>
        <w:t>с</w:t>
      </w:r>
      <w:r w:rsidRPr="00BE7760">
        <w:rPr>
          <w:sz w:val="28"/>
          <w:szCs w:val="28"/>
        </w:rPr>
        <w:t xml:space="preserve">лар, асбоб-ускуналарнинг бузилиши, рухсатсиз фойдаланиш ва ҳ. каби эҳтимоллиги юқори таҳдидларнинг </w:t>
      </w:r>
      <w:r w:rsidRPr="00BE7760">
        <w:rPr>
          <w:sz w:val="28"/>
          <w:szCs w:val="28"/>
        </w:rPr>
        <w:lastRenderedPageBreak/>
        <w:t>минимал набори кўриладиган қатор ста</w:t>
      </w:r>
      <w:r w:rsidRPr="00BE7760">
        <w:rPr>
          <w:sz w:val="28"/>
          <w:szCs w:val="28"/>
        </w:rPr>
        <w:t>н</w:t>
      </w:r>
      <w:r w:rsidRPr="00BE7760">
        <w:rPr>
          <w:sz w:val="28"/>
          <w:szCs w:val="28"/>
        </w:rPr>
        <w:t>дартлар ва спецификациялар мавжуд. Бундай таҳдидларни бетарафла</w:t>
      </w:r>
      <w:r w:rsidRPr="00BE7760">
        <w:rPr>
          <w:sz w:val="28"/>
          <w:szCs w:val="28"/>
        </w:rPr>
        <w:t>ш</w:t>
      </w:r>
      <w:r w:rsidRPr="00BE7760">
        <w:rPr>
          <w:sz w:val="28"/>
          <w:szCs w:val="28"/>
        </w:rPr>
        <w:t>тириш учун уларнинг амалга оширилиши эҳтимоллиги ва, ресурсларнинг заифлиг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дан қатъий назар, қарши чоралар кўрилиши лозим, яъни базавий д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ражада тахдидлар характеристикаларини кўриш шарт эмас.</w:t>
      </w:r>
    </w:p>
    <w:p w:rsidR="00E16B26" w:rsidRPr="00BE7760" w:rsidRDefault="00E16B26" w:rsidP="00E16B26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Ахборот хавфсизлиги режимига оширилган талаблар, ахборот ха</w:t>
      </w:r>
      <w:r w:rsidRPr="00BE7760">
        <w:rPr>
          <w:sz w:val="28"/>
          <w:szCs w:val="28"/>
        </w:rPr>
        <w:t>в</w:t>
      </w:r>
      <w:r w:rsidRPr="00BE7760">
        <w:rPr>
          <w:sz w:val="28"/>
          <w:szCs w:val="28"/>
        </w:rPr>
        <w:t>фсизлиги режимининг бузилиши оғир оқибатларга сабаб бўлганида ва ахб</w:t>
      </w:r>
      <w:r w:rsidRPr="00BE7760">
        <w:rPr>
          <w:sz w:val="28"/>
          <w:szCs w:val="28"/>
        </w:rPr>
        <w:t>о</w:t>
      </w:r>
      <w:r w:rsidRPr="00BE7760">
        <w:rPr>
          <w:sz w:val="28"/>
          <w:szCs w:val="28"/>
        </w:rPr>
        <w:t>рот хавфсизлиги режимига минимал талаблар етарли бўлмаганида ишлатил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ди.</w:t>
      </w:r>
    </w:p>
    <w:p w:rsidR="00E16B26" w:rsidRPr="00BE7760" w:rsidRDefault="00E16B26" w:rsidP="00E16B26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Ахборот хавфсизлиги режимига оширилган талабларни таърифлаш учун р</w:t>
      </w:r>
      <w:r w:rsidRPr="00BE7760">
        <w:rPr>
          <w:sz w:val="28"/>
          <w:szCs w:val="28"/>
        </w:rPr>
        <w:t>е</w:t>
      </w:r>
      <w:r w:rsidRPr="00BE7760">
        <w:rPr>
          <w:sz w:val="28"/>
          <w:szCs w:val="28"/>
        </w:rPr>
        <w:t>сурслар аҳамиятини аниқлаш, тадқиқланувчи ахборот тизими учун долзарб бўлган тахдидлар руйхати билан стандарт наборни тўлдириш, таҳдидлар эҳтимоллигини баҳолаш ва ресурслар заифлигини аниқлаш з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рур.</w:t>
      </w:r>
    </w:p>
    <w:p w:rsidR="00E16B26" w:rsidRPr="00BE7760" w:rsidRDefault="00E16B26" w:rsidP="00E16B26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Хавф-хатарни тахлиллаш жараёнини қуйидаги босқичларга ажратиш мумкин:</w:t>
      </w:r>
    </w:p>
    <w:p w:rsidR="00E16B26" w:rsidRPr="00BE7760" w:rsidRDefault="00E16B26" w:rsidP="00E16B26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корпоратив ахборот тизимининг таянч ресурсларини идентификаци</w:t>
      </w:r>
      <w:r w:rsidRPr="00BE7760">
        <w:rPr>
          <w:sz w:val="28"/>
          <w:szCs w:val="28"/>
        </w:rPr>
        <w:t>я</w:t>
      </w:r>
      <w:r w:rsidRPr="00BE7760">
        <w:rPr>
          <w:sz w:val="28"/>
          <w:szCs w:val="28"/>
        </w:rPr>
        <w:t>лаш;</w:t>
      </w:r>
    </w:p>
    <w:p w:rsidR="00E16B26" w:rsidRPr="00BE7760" w:rsidRDefault="00E16B26" w:rsidP="00E16B26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у ёки бу ресурснинг муҳимлигини аниқлаш;</w:t>
      </w:r>
    </w:p>
    <w:p w:rsidR="00E16B26" w:rsidRPr="00BE7760" w:rsidRDefault="00E16B26" w:rsidP="00E16B26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таҳдидларнинг амалга оширилишига имкон берувчи мавжуд хавфсизлик та</w:t>
      </w:r>
      <w:r w:rsidRPr="00BE7760">
        <w:rPr>
          <w:sz w:val="28"/>
          <w:szCs w:val="28"/>
        </w:rPr>
        <w:t>х</w:t>
      </w:r>
      <w:r w:rsidRPr="00BE7760">
        <w:rPr>
          <w:sz w:val="28"/>
          <w:szCs w:val="28"/>
        </w:rPr>
        <w:t>дидларни ва заифликларни идентификациялаш;</w:t>
      </w:r>
    </w:p>
    <w:p w:rsidR="00E16B26" w:rsidRPr="00BE7760" w:rsidRDefault="00E16B26" w:rsidP="00E16B26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хавфсизликка тахдидларни амалга оширилиши билан боғлиқ хавф-хатарларни ҳисоблаш.</w:t>
      </w:r>
    </w:p>
    <w:p w:rsidR="00E16B26" w:rsidRPr="00BE7760" w:rsidRDefault="00E16B26" w:rsidP="00E16B26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Ресурслар учта категорияга – ахборот ресурсларига, дастурий таъм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нотга ва техник воситаларга (файл серверлари, ишчи станциялар, кўприқлар, маршрутизаторлар ва ҳ.) бўлинади. Ҳар бир категория ичида ресурсларни синфларга ва қисм си</w:t>
      </w:r>
      <w:r w:rsidRPr="00BE7760">
        <w:rPr>
          <w:sz w:val="28"/>
          <w:szCs w:val="28"/>
        </w:rPr>
        <w:t>н</w:t>
      </w:r>
      <w:r w:rsidRPr="00BE7760">
        <w:rPr>
          <w:sz w:val="28"/>
          <w:szCs w:val="28"/>
        </w:rPr>
        <w:t>фларга ажратиш мумкин. Фақат корпоратив ахборот тизими функционаллигини бе</w:t>
      </w:r>
      <w:r w:rsidRPr="00BE7760">
        <w:rPr>
          <w:sz w:val="28"/>
          <w:szCs w:val="28"/>
        </w:rPr>
        <w:t>л</w:t>
      </w:r>
      <w:r w:rsidRPr="00BE7760">
        <w:rPr>
          <w:sz w:val="28"/>
          <w:szCs w:val="28"/>
        </w:rPr>
        <w:t xml:space="preserve">гиловчи ва </w:t>
      </w:r>
      <w:r w:rsidRPr="00BE7760">
        <w:rPr>
          <w:sz w:val="28"/>
          <w:szCs w:val="28"/>
        </w:rPr>
        <w:lastRenderedPageBreak/>
        <w:t>хавфсизликни таъминлаш нуқтаи назаридан муҳим бўлган ресурлар идентификациялан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ши лозим.</w:t>
      </w:r>
    </w:p>
    <w:p w:rsidR="00E16B26" w:rsidRPr="00BE7760" w:rsidRDefault="00E16B26" w:rsidP="00E16B26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Ресурснинг муҳимлиги (нарҳи) бу ресурснинг конфиденциаллиги, я</w:t>
      </w:r>
      <w:r w:rsidRPr="00BE7760">
        <w:rPr>
          <w:sz w:val="28"/>
          <w:szCs w:val="28"/>
        </w:rPr>
        <w:t>х</w:t>
      </w:r>
      <w:r w:rsidRPr="00BE7760">
        <w:rPr>
          <w:sz w:val="28"/>
          <w:szCs w:val="28"/>
        </w:rPr>
        <w:t>литлиги ёки фойдаланувчанлиги бузилганида етказилган зарар миқдори б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лан белгиланади. Ресурслар нархини баҳолашда ресурсларининг ҳар бир к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тегорияси учун бўлиши мумкин бўлган зарар миқдори белгиланади.</w:t>
      </w:r>
    </w:p>
    <w:p w:rsidR="00E16B26" w:rsidRPr="00BE7760" w:rsidRDefault="00E16B26" w:rsidP="00E16B26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Намунавий хавфсизлик тахдидларига корпоратив ахборот тизими р</w:t>
      </w:r>
      <w:r w:rsidRPr="00BE7760">
        <w:rPr>
          <w:sz w:val="28"/>
          <w:szCs w:val="28"/>
        </w:rPr>
        <w:t>е</w:t>
      </w:r>
      <w:r w:rsidRPr="00BE7760">
        <w:rPr>
          <w:sz w:val="28"/>
          <w:szCs w:val="28"/>
        </w:rPr>
        <w:t>сурсларига локал масофадан хужумлар, табиий офат, ходимлар хатоси, да</w:t>
      </w:r>
      <w:r w:rsidRPr="00BE7760">
        <w:rPr>
          <w:sz w:val="28"/>
          <w:szCs w:val="28"/>
        </w:rPr>
        <w:t>с</w:t>
      </w:r>
      <w:r w:rsidRPr="00BE7760">
        <w:rPr>
          <w:sz w:val="28"/>
          <w:szCs w:val="28"/>
        </w:rPr>
        <w:t>турий таъминотдаги хатолик ёки аппаратуранинг носозлиги сабаб бўлувчи корпоратив ахборот тизим ишидаги бузилишлар тааллуқли. Тахдид дараж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си деганда унинг амалга оширилиши эҳтимоллиги тушунилади.</w:t>
      </w:r>
    </w:p>
    <w:p w:rsidR="00E16B26" w:rsidRPr="00BE7760" w:rsidRDefault="00E16B26" w:rsidP="00E16B26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Ҳимоянинг бўшлиги корпоратив ахборот тизимидаги заифликларга с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баб бўлади. Заифликларни баҳолаш хавфсизлик тахдидларининг муваффақиятли амалга оширилиш эҳтимоллигини аниқлашни назарда тут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ди. Шундай қилиб, зарар етказиш эҳтимоллиги тахдидларнинг амалга оширил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ши эҳтимоллиги ва заифлик миқдори орқали аниқланади.</w:t>
      </w:r>
    </w:p>
    <w:p w:rsidR="00E16B26" w:rsidRPr="00BE7760" w:rsidRDefault="00E16B26" w:rsidP="00E16B26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Хавф-хатар даражаси ресурс нархи, тахдид даражаси ва заифлик миқдори асосида аниқланади. Ресурс нархи, тахдид даражаси ва заифлик миқдори ошиши билан хавф-хатар даражаси ҳам ошади. Хавф-хатарлар д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ражасини баҳолаш асосида хавфсизлик талаблари белгиланади.</w:t>
      </w:r>
    </w:p>
    <w:p w:rsidR="00E16B26" w:rsidRPr="00BE7760" w:rsidRDefault="00E16B26" w:rsidP="00E16B26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Хавф-хатарларни бошқариш масаласи, хавф-хатар даражасини мақбул миқдоргача камайтиришга имкон берувчи қарши чораларни асосли танла</w:t>
      </w:r>
      <w:r w:rsidRPr="00BE7760">
        <w:rPr>
          <w:sz w:val="28"/>
          <w:szCs w:val="28"/>
        </w:rPr>
        <w:t>ш</w:t>
      </w:r>
      <w:r w:rsidRPr="00BE7760">
        <w:rPr>
          <w:sz w:val="28"/>
          <w:szCs w:val="28"/>
        </w:rPr>
        <w:t>ни ва амалга ошириш нархини баҳолашни ўз ичига олади. Табиийки, қарши ч</w:t>
      </w:r>
      <w:r w:rsidRPr="00BE7760">
        <w:rPr>
          <w:sz w:val="28"/>
          <w:szCs w:val="28"/>
        </w:rPr>
        <w:t>о</w:t>
      </w:r>
      <w:r w:rsidRPr="00BE7760">
        <w:rPr>
          <w:sz w:val="28"/>
          <w:szCs w:val="28"/>
        </w:rPr>
        <w:t>раларни амалга ошириш нархи бўлиши мумкин бўлган зарар миқдоридан кам бўлиши керак.</w:t>
      </w:r>
    </w:p>
    <w:p w:rsidR="00E16B26" w:rsidRPr="00BE7760" w:rsidRDefault="00E16B26" w:rsidP="00E16B26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13.7-расмда хавф-хатарларни бошқариш технологиясининг босқичлари келт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рилган.</w:t>
      </w:r>
    </w:p>
    <w:p w:rsidR="00E16B26" w:rsidRPr="00BE7760" w:rsidRDefault="00E16B26" w:rsidP="00E16B26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lastRenderedPageBreak/>
        <w:t>Ахборот хавфсизлиги сиёсатини аниқлаш. Бу босқичда ахборот ха</w:t>
      </w:r>
      <w:r w:rsidRPr="00BE7760">
        <w:rPr>
          <w:sz w:val="28"/>
          <w:szCs w:val="28"/>
        </w:rPr>
        <w:t>в</w:t>
      </w:r>
      <w:r w:rsidRPr="00BE7760">
        <w:rPr>
          <w:sz w:val="28"/>
          <w:szCs w:val="28"/>
        </w:rPr>
        <w:t>фсизлиги соҳасидаги қўлланма-хужжатлар, стандартлар, ахборот хавфсизл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гининг асосий қоидалари, хавф-хатарларни бошқаришга ёндашишлар аниқланади ҳамда қарши чоралар структуризацияланади ва корпоратив ахб</w:t>
      </w:r>
      <w:r w:rsidRPr="00BE7760">
        <w:rPr>
          <w:sz w:val="28"/>
          <w:szCs w:val="28"/>
        </w:rPr>
        <w:t>о</w:t>
      </w:r>
      <w:r w:rsidRPr="00BE7760">
        <w:rPr>
          <w:sz w:val="28"/>
          <w:szCs w:val="28"/>
        </w:rPr>
        <w:t>рот тизимини сертификациялаш тартиби белгиланади.</w:t>
      </w:r>
    </w:p>
    <w:p w:rsidR="00E16B26" w:rsidRPr="00BE7760" w:rsidRDefault="00E16B26" w:rsidP="00E16B26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Корпоратив ахборот тизимини (КАТ) тавсифлаш. Ушбу босқичда а</w:t>
      </w:r>
      <w:r w:rsidRPr="00BE7760">
        <w:rPr>
          <w:sz w:val="28"/>
          <w:szCs w:val="28"/>
        </w:rPr>
        <w:t>х</w:t>
      </w:r>
      <w:r w:rsidRPr="00BE7760">
        <w:rPr>
          <w:sz w:val="28"/>
          <w:szCs w:val="28"/>
        </w:rPr>
        <w:t>борот хавфсизлиги соҳасидаги ҳалқаро, давлат ва корпоратив стандартларга биноан корпоратив ахборот тизимнинг функционал вазифалари тавсифлан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ди. Компаниянинг критик ахборот ресурслари, жараёнлари ва сервислари тавсифланади; корпоратив ахборот тизимининг чегаралари ҳамда бошқариш ва маълумотлар бўйича энг муҳим компонентларининг таркиби ва боғланишлари аниқланади.</w:t>
      </w:r>
    </w:p>
    <w:p w:rsidR="00E16B26" w:rsidRPr="00BE7760" w:rsidRDefault="00E16B26" w:rsidP="00E16B26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Тахдидларни идентификациялаш. Ушбу босқичда тахдидлар руйхати тузилади ва уларнинг даражаси баҳоланади. Бунда турли ташкилотларнинг тахдидлар синфлари рўйхатидан ҳам берилган тахдидни амалга ошириш эҳтимоллигининг рейтинги ёки ўртача қийматидан фойдаланиш мумкин.</w:t>
      </w:r>
    </w:p>
    <w:p w:rsidR="00E16B26" w:rsidRPr="00BE7760" w:rsidRDefault="00E16B26" w:rsidP="00E16B26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Заифликларни идентификациялаш. Ушбу босқичда берилган корпор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тив ахборот тизимининг заифликлари рўйхати, уларнинг амалга оширил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шидаги жоиз натижалар кўрсатилган ҳолда тузилади. Мавжуд корпоратив ахборот тизими учун рўйхатлар қатор манбалардан фойдаланилиб тузилади. Бу манбаларга заифликларни тармоқ сканерлари, турли ташкилотларнинг з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ифликлар каталоги, хавф-хатарларни тахлилловчи ихтисослаштирилган усуллар киради.</w:t>
      </w:r>
    </w:p>
    <w:p w:rsidR="00E16B26" w:rsidRPr="00BE7760" w:rsidRDefault="00E16B26" w:rsidP="00E16B26">
      <w:pPr>
        <w:spacing w:line="360" w:lineRule="auto"/>
        <w:ind w:firstLine="720"/>
        <w:jc w:val="both"/>
        <w:rPr>
          <w:sz w:val="28"/>
          <w:szCs w:val="28"/>
        </w:rPr>
      </w:pPr>
    </w:p>
    <w:p w:rsidR="00E16B26" w:rsidRPr="00BE7760" w:rsidRDefault="00E16B26" w:rsidP="00E16B26">
      <w:pPr>
        <w:spacing w:line="360" w:lineRule="auto"/>
        <w:ind w:firstLine="720"/>
        <w:jc w:val="both"/>
        <w:rPr>
          <w:sz w:val="28"/>
          <w:szCs w:val="28"/>
        </w:rPr>
      </w:pPr>
    </w:p>
    <w:p w:rsidR="00E16B26" w:rsidRPr="00BE7760" w:rsidRDefault="00E16B26" w:rsidP="00E16B26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noProof/>
          <w:sz w:val="28"/>
          <w:szCs w:val="28"/>
        </w:rPr>
        <w:pict>
          <v:group id="_x0000_s1026" style="position:absolute;left:0;text-align:left;margin-left:18pt;margin-top:-27pt;width:6in;height:772.5pt;z-index:251660288" coordorigin="1881,804" coordsize="8640,1545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2421;top:1854;width:3060;height:900">
              <v:textbox style="mso-next-textbox:#_x0000_s1027">
                <w:txbxContent>
                  <w:p w:rsidR="00E16B26" w:rsidRDefault="00E16B26" w:rsidP="00E16B26">
                    <w:pPr>
                      <w:jc w:val="center"/>
                    </w:pPr>
                    <w:r>
                      <w:t>1. Ахборот хавфсизлиги сиёсатини аниқлаш</w:t>
                    </w:r>
                  </w:p>
                </w:txbxContent>
              </v:textbox>
            </v:shape>
            <v:shape id="_x0000_s1028" type="#_x0000_t202" style="position:absolute;left:2421;top:3294;width:3060;height:900">
              <v:textbox style="mso-next-textbox:#_x0000_s1028">
                <w:txbxContent>
                  <w:p w:rsidR="00E16B26" w:rsidRDefault="00E16B26" w:rsidP="00E16B26"/>
                  <w:p w:rsidR="00E16B26" w:rsidRDefault="00E16B26" w:rsidP="00E16B26">
                    <w:pPr>
                      <w:jc w:val="center"/>
                    </w:pPr>
                    <w:r>
                      <w:t>2. КАТ тавсифи</w:t>
                    </w:r>
                  </w:p>
                </w:txbxContent>
              </v:textbox>
            </v:shape>
            <v:shape id="_x0000_s1029" type="#_x0000_t202" style="position:absolute;left:2421;top:4734;width:3060;height:900">
              <v:textbox style="mso-next-textbox:#_x0000_s1029" inset=",0">
                <w:txbxContent>
                  <w:p w:rsidR="00E16B26" w:rsidRDefault="00E16B26" w:rsidP="00E16B26">
                    <w:pPr>
                      <w:jc w:val="center"/>
                    </w:pPr>
                    <w:r>
                      <w:t xml:space="preserve">3. Тахдидларни </w:t>
                    </w:r>
                  </w:p>
                  <w:p w:rsidR="00E16B26" w:rsidRDefault="00E16B26" w:rsidP="00E16B26">
                    <w:pPr>
                      <w:jc w:val="center"/>
                    </w:pPr>
                    <w:r>
                      <w:t>идент</w:t>
                    </w:r>
                    <w:r>
                      <w:t>и</w:t>
                    </w:r>
                    <w:r>
                      <w:t xml:space="preserve">фикациялаш </w:t>
                    </w:r>
                  </w:p>
                </w:txbxContent>
              </v:textbox>
            </v:shape>
            <v:shape id="_x0000_s1030" type="#_x0000_t202" style="position:absolute;left:2421;top:6174;width:3060;height:900">
              <v:textbox style="mso-next-textbox:#_x0000_s1030" inset=",0">
                <w:txbxContent>
                  <w:p w:rsidR="00E16B26" w:rsidRDefault="00E16B26" w:rsidP="00E16B26">
                    <w:pPr>
                      <w:jc w:val="center"/>
                    </w:pPr>
                    <w:r>
                      <w:t xml:space="preserve">4. Заифликларни </w:t>
                    </w:r>
                  </w:p>
                  <w:p w:rsidR="00E16B26" w:rsidRDefault="00E16B26" w:rsidP="00E16B26">
                    <w:pPr>
                      <w:jc w:val="center"/>
                    </w:pPr>
                    <w:r>
                      <w:t>идент</w:t>
                    </w:r>
                    <w:r>
                      <w:t>и</w:t>
                    </w:r>
                    <w:r>
                      <w:t>фикациялаш</w:t>
                    </w:r>
                  </w:p>
                </w:txbxContent>
              </v:textbox>
            </v:shape>
            <v:shape id="_x0000_s1031" type="#_x0000_t202" style="position:absolute;left:2421;top:7614;width:3060;height:900">
              <v:textbox style="mso-next-textbox:#_x0000_s1031" inset=".5mm,0,.5mm">
                <w:txbxContent>
                  <w:p w:rsidR="00E16B26" w:rsidRDefault="00E16B26" w:rsidP="00E16B26">
                    <w:pPr>
                      <w:jc w:val="center"/>
                    </w:pPr>
                    <w:r>
                      <w:t>5. Ахборот хавфсизлиг</w:t>
                    </w:r>
                    <w:r>
                      <w:t>и</w:t>
                    </w:r>
                    <w:r>
                      <w:t>нинг бошқариш тизимини              та</w:t>
                    </w:r>
                    <w:r>
                      <w:t>х</w:t>
                    </w:r>
                    <w:r>
                      <w:t>лиллаш</w:t>
                    </w:r>
                  </w:p>
                </w:txbxContent>
              </v:textbox>
            </v:shape>
            <v:shape id="_x0000_s1032" type="#_x0000_t202" style="position:absolute;left:2421;top:9054;width:3060;height:900">
              <v:textbox style="mso-next-textbox:#_x0000_s1032" inset=",0">
                <w:txbxContent>
                  <w:p w:rsidR="00E16B26" w:rsidRDefault="00E16B26" w:rsidP="00E16B26">
                    <w:pPr>
                      <w:jc w:val="center"/>
                    </w:pPr>
                    <w:r>
                      <w:t>6. Тахдид параметрларини баҳолаш</w:t>
                    </w:r>
                  </w:p>
                </w:txbxContent>
              </v:textbox>
            </v:shape>
            <v:shape id="_x0000_s1033" type="#_x0000_t202" style="position:absolute;left:2421;top:10494;width:3060;height:900">
              <v:textbox style="mso-next-textbox:#_x0000_s1033" inset=",0">
                <w:txbxContent>
                  <w:p w:rsidR="00E16B26" w:rsidRDefault="00E16B26" w:rsidP="00E16B26">
                    <w:pPr>
                      <w:jc w:val="center"/>
                    </w:pPr>
                    <w:r>
                      <w:t>7. Ахборот хавфсизлиги режимининг б</w:t>
                    </w:r>
                    <w:r>
                      <w:t>у</w:t>
                    </w:r>
                    <w:r>
                      <w:t>зилиши оқибатларини тахли</w:t>
                    </w:r>
                    <w:r>
                      <w:t>л</w:t>
                    </w:r>
                    <w:r>
                      <w:t>лаш</w:t>
                    </w:r>
                  </w:p>
                </w:txbxContent>
              </v:textbox>
            </v:shape>
            <v:shape id="_x0000_s1034" type="#_x0000_t202" style="position:absolute;left:2421;top:11934;width:3060;height:900">
              <v:textbox style="mso-next-textbox:#_x0000_s1034" inset=",0">
                <w:txbxContent>
                  <w:p w:rsidR="00E16B26" w:rsidRDefault="00E16B26" w:rsidP="00E16B26">
                    <w:pPr>
                      <w:jc w:val="center"/>
                    </w:pPr>
                    <w:r>
                      <w:t xml:space="preserve">8. Хавф-хатарларни аниқлаш ёки қайта баҳолаш </w:t>
                    </w:r>
                  </w:p>
                </w:txbxContent>
              </v:textbox>
            </v:shape>
            <v:shape id="_x0000_s1035" type="#_x0000_t202" style="position:absolute;left:2421;top:13374;width:3060;height:900">
              <v:textbox style="mso-next-textbox:#_x0000_s1035" inset=",0">
                <w:txbxContent>
                  <w:p w:rsidR="00E16B26" w:rsidRDefault="00E16B26" w:rsidP="00E16B26">
                    <w:pPr>
                      <w:jc w:val="center"/>
                    </w:pPr>
                    <w:r>
                      <w:t>9. Хавф-хатарларни бошқариш бўйича тавсияларни и</w:t>
                    </w:r>
                    <w:r>
                      <w:t>ш</w:t>
                    </w:r>
                    <w:r>
                      <w:t>лаб чиқиш</w:t>
                    </w:r>
                  </w:p>
                </w:txbxContent>
              </v:textbox>
            </v:shape>
            <v:shape id="_x0000_s1036" type="#_x0000_t202" style="position:absolute;left:2421;top:14814;width:3060;height:900">
              <v:textbox style="mso-next-textbox:#_x0000_s1036" inset=",0">
                <w:txbxContent>
                  <w:p w:rsidR="00E16B26" w:rsidRPr="000E318A" w:rsidRDefault="00E16B26" w:rsidP="00E16B26">
                    <w:pPr>
                      <w:jc w:val="center"/>
                    </w:pPr>
                    <w:r>
                      <w:t>10. Ҳисобот хужжатлар</w:t>
                    </w:r>
                    <w:r>
                      <w:t>и</w:t>
                    </w:r>
                    <w:r>
                      <w:t>ни ишлаб чиқиш</w:t>
                    </w:r>
                  </w:p>
                </w:txbxContent>
              </v:textbox>
            </v:shape>
            <v:shape id="_x0000_s1037" type="#_x0000_t202" style="position:absolute;left:6741;top:1854;width:3060;height:900">
              <v:textbox style="mso-next-textbox:#_x0000_s1037">
                <w:txbxContent>
                  <w:p w:rsidR="00E16B26" w:rsidRDefault="00E16B26" w:rsidP="00E16B26">
                    <w:pPr>
                      <w:jc w:val="center"/>
                    </w:pPr>
                    <w:r>
                      <w:t>Ахборот хавфсизлиги си</w:t>
                    </w:r>
                    <w:r>
                      <w:t>ё</w:t>
                    </w:r>
                    <w:r>
                      <w:t>сати</w:t>
                    </w:r>
                  </w:p>
                </w:txbxContent>
              </v:textbox>
            </v:shape>
            <v:shape id="_x0000_s1038" type="#_x0000_t202" style="position:absolute;left:6741;top:3294;width:3060;height:900">
              <v:textbox style="mso-next-textbox:#_x0000_s1038" inset=",0,,0">
                <w:txbxContent>
                  <w:p w:rsidR="00E16B26" w:rsidRDefault="00E16B26" w:rsidP="00E16B26">
                    <w:pPr>
                      <w:jc w:val="center"/>
                    </w:pPr>
                    <w:r>
                      <w:t>Тизим функциялари</w:t>
                    </w:r>
                  </w:p>
                  <w:p w:rsidR="00E16B26" w:rsidRDefault="00E16B26" w:rsidP="00E16B26">
                    <w:pPr>
                      <w:jc w:val="center"/>
                    </w:pPr>
                    <w:r>
                      <w:t>Тизим чегаралари</w:t>
                    </w:r>
                  </w:p>
                  <w:p w:rsidR="00E16B26" w:rsidRDefault="00E16B26" w:rsidP="00E16B26">
                    <w:pPr>
                      <w:jc w:val="center"/>
                    </w:pPr>
                    <w:r>
                      <w:t>КАТ критик элементлари</w:t>
                    </w:r>
                  </w:p>
                </w:txbxContent>
              </v:textbox>
            </v:shape>
            <v:shape id="_x0000_s1039" type="#_x0000_t202" style="position:absolute;left:6741;top:4734;width:3060;height:900">
              <v:textbox style="mso-next-textbox:#_x0000_s1039" inset=",0">
                <w:txbxContent>
                  <w:p w:rsidR="00E16B26" w:rsidRDefault="00E16B26" w:rsidP="00E16B26">
                    <w:pPr>
                      <w:jc w:val="center"/>
                    </w:pPr>
                    <w:r>
                      <w:t xml:space="preserve">КАТ учун тахдид </w:t>
                    </w:r>
                  </w:p>
                  <w:p w:rsidR="00E16B26" w:rsidRDefault="00E16B26" w:rsidP="00E16B26">
                    <w:pPr>
                      <w:jc w:val="center"/>
                    </w:pPr>
                    <w:r>
                      <w:t>синфл</w:t>
                    </w:r>
                    <w:r>
                      <w:t>а</w:t>
                    </w:r>
                    <w:r>
                      <w:t xml:space="preserve">ри </w:t>
                    </w:r>
                  </w:p>
                </w:txbxContent>
              </v:textbox>
            </v:shape>
            <v:shape id="_x0000_s1040" type="#_x0000_t202" style="position:absolute;left:6741;top:6174;width:3060;height:900">
              <v:textbox style="mso-next-textbox:#_x0000_s1040" inset=",0">
                <w:txbxContent>
                  <w:p w:rsidR="00E16B26" w:rsidRDefault="00E16B26" w:rsidP="00E16B26">
                    <w:pPr>
                      <w:jc w:val="center"/>
                    </w:pPr>
                    <w:r>
                      <w:t>Бўлиши мумкин бўлган заи</w:t>
                    </w:r>
                    <w:r>
                      <w:t>ф</w:t>
                    </w:r>
                    <w:r>
                      <w:t xml:space="preserve">ликлар рўйхати </w:t>
                    </w:r>
                  </w:p>
                </w:txbxContent>
              </v:textbox>
            </v:shape>
            <v:shape id="_x0000_s1041" type="#_x0000_t202" style="position:absolute;left:6741;top:7614;width:3060;height:900">
              <v:textbox style="mso-next-textbox:#_x0000_s1041" inset=",0">
                <w:txbxContent>
                  <w:p w:rsidR="00E16B26" w:rsidRDefault="00E16B26" w:rsidP="00E16B26">
                    <w:pPr>
                      <w:jc w:val="center"/>
                    </w:pPr>
                    <w:r>
                      <w:t>Ахборот хавфсизлигини бошқариш тизимининг та</w:t>
                    </w:r>
                    <w:r>
                      <w:t>в</w:t>
                    </w:r>
                    <w:r>
                      <w:t>сифи</w:t>
                    </w:r>
                  </w:p>
                </w:txbxContent>
              </v:textbox>
            </v:shape>
            <v:shape id="_x0000_s1042" type="#_x0000_t202" style="position:absolute;left:6741;top:9054;width:3060;height:900">
              <v:textbox style="mso-next-textbox:#_x0000_s1042" inset=",0">
                <w:txbxContent>
                  <w:p w:rsidR="00E16B26" w:rsidRDefault="00E16B26" w:rsidP="00E16B26">
                    <w:pPr>
                      <w:jc w:val="center"/>
                    </w:pPr>
                    <w:r>
                      <w:t>Эҳтимолиги бўйича           рутбаланган тахдид               си</w:t>
                    </w:r>
                    <w:r>
                      <w:t>н</w:t>
                    </w:r>
                    <w:r>
                      <w:t>флари</w:t>
                    </w:r>
                  </w:p>
                </w:txbxContent>
              </v:textbox>
            </v:shape>
            <v:shape id="_x0000_s1043" type="#_x0000_t202" style="position:absolute;left:6741;top:10494;width:3060;height:900">
              <v:textbox style="mso-next-textbox:#_x0000_s1043" inset="0,0,0,0">
                <w:txbxContent>
                  <w:p w:rsidR="00E16B26" w:rsidRPr="00E8178F" w:rsidRDefault="00E16B26" w:rsidP="00E16B26">
                    <w:pPr>
                      <w:jc w:val="center"/>
                      <w:rPr>
                        <w:sz w:val="22"/>
                        <w:szCs w:val="22"/>
                      </w:rPr>
                    </w:pPr>
                    <w:r w:rsidRPr="00E8178F">
                      <w:rPr>
                        <w:sz w:val="22"/>
                        <w:szCs w:val="22"/>
                      </w:rPr>
                      <w:t>Оқибатлари хавфлили</w:t>
                    </w:r>
                    <w:r>
                      <w:rPr>
                        <w:sz w:val="22"/>
                        <w:szCs w:val="22"/>
                      </w:rPr>
                      <w:t>ги</w:t>
                    </w:r>
                    <w:r w:rsidRPr="00E8178F">
                      <w:rPr>
                        <w:sz w:val="22"/>
                        <w:szCs w:val="22"/>
                      </w:rPr>
                      <w:t xml:space="preserve"> бўйича рутбаланган ахборо</w:t>
                    </w:r>
                    <w:r>
                      <w:rPr>
                        <w:sz w:val="22"/>
                        <w:szCs w:val="22"/>
                      </w:rPr>
                      <w:t>т</w:t>
                    </w:r>
                    <w:r w:rsidRPr="00E8178F">
                      <w:rPr>
                        <w:sz w:val="22"/>
                        <w:szCs w:val="22"/>
                      </w:rPr>
                      <w:t xml:space="preserve"> хавфсизлиги режим</w:t>
                    </w:r>
                    <w:r w:rsidRPr="00E8178F">
                      <w:rPr>
                        <w:sz w:val="22"/>
                        <w:szCs w:val="22"/>
                      </w:rPr>
                      <w:t>и</w:t>
                    </w:r>
                    <w:r>
                      <w:rPr>
                        <w:sz w:val="22"/>
                        <w:szCs w:val="22"/>
                      </w:rPr>
                      <w:t>нинг бузилишлари</w:t>
                    </w:r>
                  </w:p>
                </w:txbxContent>
              </v:textbox>
            </v:shape>
            <v:shape id="_x0000_s1044" type="#_x0000_t202" style="position:absolute;left:6741;top:11934;width:3060;height:900">
              <v:textbox style="mso-next-textbox:#_x0000_s1044" inset=",0">
                <w:txbxContent>
                  <w:p w:rsidR="00E16B26" w:rsidRDefault="00E16B26" w:rsidP="00E16B26">
                    <w:pPr>
                      <w:jc w:val="center"/>
                    </w:pPr>
                    <w:r>
                      <w:t>Рутбаланган хавф-хатарлар рўйхати</w:t>
                    </w:r>
                  </w:p>
                </w:txbxContent>
              </v:textbox>
            </v:shape>
            <v:shape id="_x0000_s1045" type="#_x0000_t202" style="position:absolute;left:6741;top:13374;width:3060;height:900">
              <v:textbox style="mso-next-textbox:#_x0000_s1045" inset=",0">
                <w:txbxContent>
                  <w:p w:rsidR="00E16B26" w:rsidRDefault="00E16B26" w:rsidP="00E16B26">
                    <w:pPr>
                      <w:jc w:val="center"/>
                    </w:pPr>
                    <w:r>
                      <w:t>Хавф-хатарларни бошқариш бўйича                    та</w:t>
                    </w:r>
                    <w:r>
                      <w:t>в</w:t>
                    </w:r>
                    <w:r>
                      <w:t>сиялар</w:t>
                    </w:r>
                  </w:p>
                </w:txbxContent>
              </v:textbox>
            </v:shape>
            <v:shape id="_x0000_s1046" type="#_x0000_t202" style="position:absolute;left:6741;top:14814;width:3060;height:900">
              <v:textbox style="mso-next-textbox:#_x0000_s1046" inset=",0">
                <w:txbxContent>
                  <w:p w:rsidR="00E16B26" w:rsidRDefault="00E16B26" w:rsidP="00E16B26">
                    <w:pPr>
                      <w:jc w:val="center"/>
                    </w:pPr>
                  </w:p>
                  <w:p w:rsidR="00E16B26" w:rsidRPr="000E318A" w:rsidRDefault="00E16B26" w:rsidP="00E16B26">
                    <w:pPr>
                      <w:jc w:val="center"/>
                    </w:pPr>
                    <w:r>
                      <w:t xml:space="preserve">Ҳисобот хужжатлари </w:t>
                    </w:r>
                  </w:p>
                </w:txbxContent>
              </v:textbox>
            </v:shape>
            <v:shape id="_x0000_s1047" type="#_x0000_t202" style="position:absolute;left:2421;top:804;width:3060;height:900" filled="f" stroked="f">
              <v:textbox style="mso-next-textbox:#_x0000_s1047" inset="0,0,0,0">
                <w:txbxContent>
                  <w:p w:rsidR="00E16B26" w:rsidRDefault="00E16B26" w:rsidP="00E16B26">
                    <w:pPr>
                      <w:jc w:val="center"/>
                    </w:pPr>
                    <w:r>
                      <w:t>Хавф-хатарларни тахли</w:t>
                    </w:r>
                    <w:r>
                      <w:t>л</w:t>
                    </w:r>
                    <w:r>
                      <w:t>лаш ва бошқариш босқичлари</w:t>
                    </w:r>
                  </w:p>
                </w:txbxContent>
              </v:textbox>
            </v:shape>
            <v:shape id="_x0000_s1048" type="#_x0000_t202" style="position:absolute;left:6741;top:954;width:3060;height:900" filled="f" stroked="f">
              <v:textbox style="mso-next-textbox:#_x0000_s1048">
                <w:txbxContent>
                  <w:p w:rsidR="00E16B26" w:rsidRDefault="00E16B26" w:rsidP="00E16B26">
                    <w:pPr>
                      <w:jc w:val="center"/>
                    </w:pPr>
                  </w:p>
                  <w:p w:rsidR="00E16B26" w:rsidRDefault="00E16B26" w:rsidP="00E16B26">
                    <w:pPr>
                      <w:jc w:val="center"/>
                    </w:pPr>
                    <w:r>
                      <w:t>Натижавий маълумотлар</w:t>
                    </w:r>
                  </w:p>
                </w:txbxContent>
              </v:textbox>
            </v:shape>
            <v:line id="_x0000_s1049" style="position:absolute" from="3861,2754" to="3861,3294">
              <v:stroke startarrow="oval" endarrow="block"/>
            </v:line>
            <v:line id="_x0000_s1050" style="position:absolute" from="3861,4194" to="3861,4734">
              <v:stroke startarrow="oval" endarrow="block"/>
            </v:line>
            <v:line id="_x0000_s1051" style="position:absolute" from="3861,5634" to="3861,6174">
              <v:stroke startarrow="oval" endarrow="block"/>
            </v:line>
            <v:line id="_x0000_s1052" style="position:absolute" from="3861,7074" to="3861,7614">
              <v:stroke startarrow="oval" endarrow="block"/>
            </v:line>
            <v:line id="_x0000_s1053" style="position:absolute" from="3861,8514" to="3861,9054">
              <v:stroke startarrow="oval" endarrow="block"/>
            </v:line>
            <v:line id="_x0000_s1054" style="position:absolute" from="3861,9954" to="3861,10494">
              <v:stroke startarrow="oval" endarrow="block"/>
            </v:line>
            <v:line id="_x0000_s1055" style="position:absolute" from="3861,11394" to="3861,11934">
              <v:stroke startarrow="oval" endarrow="block"/>
            </v:line>
            <v:line id="_x0000_s1056" style="position:absolute" from="3861,12834" to="3861,13374">
              <v:stroke startarrow="oval" endarrow="block"/>
            </v:line>
            <v:line id="_x0000_s1057" style="position:absolute" from="3861,14274" to="3861,14814">
              <v:stroke startarrow="oval" endarrow="block"/>
            </v:line>
            <v:line id="_x0000_s1058" style="position:absolute;flip:x" from="1881,13914" to="2421,13914">
              <v:stroke startarrow="oval"/>
            </v:line>
            <v:line id="_x0000_s1059" style="position:absolute;flip:y" from="1881,1494" to="1881,13914"/>
            <v:line id="_x0000_s1060" style="position:absolute" from="1881,1494" to="3861,1494"/>
            <v:line id="_x0000_s1061" style="position:absolute" from="3861,1494" to="3861,1854">
              <v:stroke endarrow="block"/>
            </v:line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_x0000_s1062" type="#_x0000_t13" style="position:absolute;left:5481;top:2034;width:1260;height:540"/>
            <v:shape id="_x0000_s1063" type="#_x0000_t13" style="position:absolute;left:5481;top:3474;width:1260;height:540"/>
            <v:shape id="_x0000_s1064" type="#_x0000_t13" style="position:absolute;left:5481;top:4914;width:1260;height:540"/>
            <v:shape id="_x0000_s1065" type="#_x0000_t13" style="position:absolute;left:5481;top:6354;width:1260;height:540"/>
            <v:shape id="_x0000_s1066" type="#_x0000_t13" style="position:absolute;left:5481;top:7794;width:1260;height:540"/>
            <v:shape id="_x0000_s1067" type="#_x0000_t13" style="position:absolute;left:5481;top:9234;width:1260;height:540"/>
            <v:shape id="_x0000_s1068" type="#_x0000_t13" style="position:absolute;left:5481;top:10674;width:1260;height:540"/>
            <v:shape id="_x0000_s1069" type="#_x0000_t13" style="position:absolute;left:5481;top:12114;width:1260;height:540"/>
            <v:shape id="_x0000_s1070" type="#_x0000_t13" style="position:absolute;left:5481;top:13554;width:1260;height:540"/>
            <v:shape id="_x0000_s1071" type="#_x0000_t13" style="position:absolute;left:5481;top:14994;width:1260;height:540"/>
            <v:shape id="_x0000_s1072" type="#_x0000_t202" style="position:absolute;left:2421;top:15714;width:8100;height:540" filled="f" stroked="f">
              <v:textbox style="mso-next-textbox:#_x0000_s1072" inset=",0">
                <w:txbxContent>
                  <w:p w:rsidR="00E16B26" w:rsidRPr="00E8178F" w:rsidRDefault="00E16B26" w:rsidP="00E16B26">
                    <w:pPr>
                      <w:jc w:val="center"/>
                      <w:rPr>
                        <w:i/>
                      </w:rPr>
                    </w:pPr>
                    <w:r w:rsidRPr="00E8178F">
                      <w:rPr>
                        <w:i/>
                      </w:rPr>
                      <w:t>13.</w:t>
                    </w:r>
                    <w:r>
                      <w:rPr>
                        <w:i/>
                      </w:rPr>
                      <w:t>7</w:t>
                    </w:r>
                    <w:r w:rsidRPr="00E8178F">
                      <w:rPr>
                        <w:i/>
                      </w:rPr>
                      <w:t>–расм. Хавф-хатарларни бошқариш технологиясининг варианти</w:t>
                    </w:r>
                    <w:r>
                      <w:rPr>
                        <w:i/>
                      </w:rPr>
                      <w:t>.</w:t>
                    </w:r>
                  </w:p>
                </w:txbxContent>
              </v:textbox>
            </v:shape>
          </v:group>
        </w:pict>
      </w:r>
    </w:p>
    <w:p w:rsidR="00E16B26" w:rsidRPr="00BE7760" w:rsidRDefault="00E16B26" w:rsidP="00E16B26">
      <w:pPr>
        <w:spacing w:line="360" w:lineRule="auto"/>
        <w:ind w:firstLine="720"/>
        <w:jc w:val="both"/>
        <w:rPr>
          <w:sz w:val="28"/>
          <w:szCs w:val="28"/>
        </w:rPr>
      </w:pPr>
    </w:p>
    <w:p w:rsidR="00E16B26" w:rsidRPr="00BE7760" w:rsidRDefault="00E16B26" w:rsidP="00E16B26">
      <w:pPr>
        <w:spacing w:line="360" w:lineRule="auto"/>
        <w:ind w:firstLine="720"/>
        <w:jc w:val="both"/>
        <w:rPr>
          <w:sz w:val="28"/>
          <w:szCs w:val="28"/>
        </w:rPr>
      </w:pPr>
    </w:p>
    <w:p w:rsidR="00E16B26" w:rsidRPr="00BE7760" w:rsidRDefault="00E16B26" w:rsidP="00E16B26">
      <w:pPr>
        <w:spacing w:line="360" w:lineRule="auto"/>
        <w:ind w:firstLine="720"/>
        <w:jc w:val="both"/>
        <w:rPr>
          <w:sz w:val="28"/>
          <w:szCs w:val="28"/>
        </w:rPr>
      </w:pPr>
    </w:p>
    <w:p w:rsidR="00E16B26" w:rsidRPr="00BE7760" w:rsidRDefault="00E16B26" w:rsidP="00E16B26">
      <w:pPr>
        <w:tabs>
          <w:tab w:val="left" w:pos="4005"/>
        </w:tabs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ab/>
      </w:r>
    </w:p>
    <w:p w:rsidR="00E16B26" w:rsidRPr="00BE7760" w:rsidRDefault="00E16B26" w:rsidP="00E16B26">
      <w:pPr>
        <w:spacing w:line="360" w:lineRule="auto"/>
        <w:ind w:firstLine="720"/>
        <w:jc w:val="both"/>
        <w:rPr>
          <w:sz w:val="28"/>
          <w:szCs w:val="28"/>
        </w:rPr>
      </w:pPr>
    </w:p>
    <w:p w:rsidR="00E16B26" w:rsidRPr="00BE7760" w:rsidRDefault="00E16B26" w:rsidP="00E16B26">
      <w:pPr>
        <w:spacing w:line="360" w:lineRule="auto"/>
        <w:ind w:firstLine="720"/>
        <w:jc w:val="both"/>
        <w:rPr>
          <w:sz w:val="28"/>
          <w:szCs w:val="28"/>
        </w:rPr>
      </w:pPr>
    </w:p>
    <w:p w:rsidR="00E16B26" w:rsidRPr="00BE7760" w:rsidRDefault="00E16B26" w:rsidP="00E16B26">
      <w:pPr>
        <w:spacing w:line="360" w:lineRule="auto"/>
        <w:ind w:firstLine="720"/>
        <w:jc w:val="both"/>
        <w:rPr>
          <w:sz w:val="28"/>
          <w:szCs w:val="28"/>
        </w:rPr>
      </w:pPr>
    </w:p>
    <w:p w:rsidR="00E16B26" w:rsidRPr="00BE7760" w:rsidRDefault="00E16B26" w:rsidP="00E16B26">
      <w:pPr>
        <w:spacing w:line="360" w:lineRule="auto"/>
        <w:ind w:firstLine="720"/>
        <w:jc w:val="both"/>
        <w:rPr>
          <w:sz w:val="28"/>
          <w:szCs w:val="28"/>
        </w:rPr>
      </w:pPr>
    </w:p>
    <w:p w:rsidR="00E16B26" w:rsidRPr="00BE7760" w:rsidRDefault="00E16B26" w:rsidP="00E16B26">
      <w:pPr>
        <w:spacing w:line="360" w:lineRule="auto"/>
        <w:ind w:firstLine="720"/>
        <w:jc w:val="both"/>
        <w:rPr>
          <w:sz w:val="28"/>
          <w:szCs w:val="28"/>
        </w:rPr>
      </w:pPr>
    </w:p>
    <w:p w:rsidR="00E16B26" w:rsidRPr="00BE7760" w:rsidRDefault="00E16B26" w:rsidP="00E16B26">
      <w:pPr>
        <w:spacing w:line="360" w:lineRule="auto"/>
        <w:ind w:firstLine="720"/>
        <w:jc w:val="both"/>
        <w:rPr>
          <w:sz w:val="28"/>
          <w:szCs w:val="28"/>
        </w:rPr>
      </w:pPr>
    </w:p>
    <w:p w:rsidR="00E16B26" w:rsidRPr="00BE7760" w:rsidRDefault="00E16B26" w:rsidP="00E16B26">
      <w:pPr>
        <w:tabs>
          <w:tab w:val="left" w:pos="8355"/>
        </w:tabs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ab/>
      </w:r>
    </w:p>
    <w:p w:rsidR="00E16B26" w:rsidRPr="00BE7760" w:rsidRDefault="00E16B26" w:rsidP="00E16B26">
      <w:pPr>
        <w:spacing w:line="360" w:lineRule="auto"/>
        <w:ind w:firstLine="720"/>
        <w:jc w:val="both"/>
        <w:rPr>
          <w:sz w:val="28"/>
          <w:szCs w:val="28"/>
        </w:rPr>
      </w:pPr>
    </w:p>
    <w:p w:rsidR="00E16B26" w:rsidRPr="00BE7760" w:rsidRDefault="00E16B26" w:rsidP="00E16B26">
      <w:pPr>
        <w:spacing w:line="360" w:lineRule="auto"/>
        <w:ind w:firstLine="720"/>
        <w:jc w:val="both"/>
        <w:rPr>
          <w:sz w:val="28"/>
          <w:szCs w:val="28"/>
        </w:rPr>
      </w:pPr>
    </w:p>
    <w:p w:rsidR="00E16B26" w:rsidRPr="00BE7760" w:rsidRDefault="00E16B26" w:rsidP="00E16B26">
      <w:pPr>
        <w:spacing w:line="360" w:lineRule="auto"/>
        <w:ind w:firstLine="720"/>
        <w:jc w:val="both"/>
        <w:rPr>
          <w:sz w:val="28"/>
          <w:szCs w:val="28"/>
        </w:rPr>
      </w:pPr>
    </w:p>
    <w:p w:rsidR="00E16B26" w:rsidRPr="00BE7760" w:rsidRDefault="00E16B26" w:rsidP="00E16B26">
      <w:pPr>
        <w:spacing w:line="360" w:lineRule="auto"/>
        <w:ind w:firstLine="720"/>
        <w:jc w:val="both"/>
        <w:rPr>
          <w:sz w:val="28"/>
          <w:szCs w:val="28"/>
        </w:rPr>
      </w:pPr>
    </w:p>
    <w:p w:rsidR="00E16B26" w:rsidRPr="00BE7760" w:rsidRDefault="00E16B26" w:rsidP="00E16B26">
      <w:pPr>
        <w:spacing w:line="360" w:lineRule="auto"/>
        <w:ind w:firstLine="720"/>
        <w:jc w:val="both"/>
        <w:rPr>
          <w:sz w:val="28"/>
          <w:szCs w:val="28"/>
        </w:rPr>
      </w:pPr>
    </w:p>
    <w:p w:rsidR="00E16B26" w:rsidRPr="00BE7760" w:rsidRDefault="00E16B26" w:rsidP="00E16B26">
      <w:pPr>
        <w:spacing w:line="360" w:lineRule="auto"/>
        <w:ind w:firstLine="720"/>
        <w:jc w:val="both"/>
        <w:rPr>
          <w:sz w:val="28"/>
          <w:szCs w:val="28"/>
        </w:rPr>
      </w:pPr>
    </w:p>
    <w:p w:rsidR="00E16B26" w:rsidRPr="00BE7760" w:rsidRDefault="00E16B26" w:rsidP="00E16B26">
      <w:pPr>
        <w:spacing w:line="360" w:lineRule="auto"/>
        <w:ind w:firstLine="720"/>
        <w:jc w:val="both"/>
        <w:rPr>
          <w:sz w:val="28"/>
          <w:szCs w:val="28"/>
        </w:rPr>
      </w:pPr>
    </w:p>
    <w:p w:rsidR="00E16B26" w:rsidRPr="00BE7760" w:rsidRDefault="00E16B26" w:rsidP="00E16B26">
      <w:pPr>
        <w:spacing w:line="360" w:lineRule="auto"/>
        <w:ind w:firstLine="720"/>
        <w:jc w:val="both"/>
        <w:rPr>
          <w:sz w:val="28"/>
          <w:szCs w:val="28"/>
        </w:rPr>
      </w:pPr>
    </w:p>
    <w:p w:rsidR="00E16B26" w:rsidRPr="00BE7760" w:rsidRDefault="00E16B26" w:rsidP="00E16B26">
      <w:pPr>
        <w:spacing w:line="360" w:lineRule="auto"/>
        <w:ind w:firstLine="720"/>
        <w:jc w:val="both"/>
        <w:rPr>
          <w:sz w:val="28"/>
          <w:szCs w:val="28"/>
        </w:rPr>
      </w:pPr>
    </w:p>
    <w:p w:rsidR="00E16B26" w:rsidRPr="00BE7760" w:rsidRDefault="00E16B26" w:rsidP="00E16B26">
      <w:pPr>
        <w:spacing w:line="360" w:lineRule="auto"/>
        <w:ind w:firstLine="720"/>
        <w:jc w:val="both"/>
        <w:rPr>
          <w:sz w:val="28"/>
          <w:szCs w:val="28"/>
        </w:rPr>
      </w:pPr>
    </w:p>
    <w:p w:rsidR="00E16B26" w:rsidRPr="00BE7760" w:rsidRDefault="00E16B26" w:rsidP="00E16B26">
      <w:pPr>
        <w:spacing w:line="360" w:lineRule="auto"/>
        <w:ind w:firstLine="720"/>
        <w:jc w:val="both"/>
        <w:rPr>
          <w:sz w:val="28"/>
          <w:szCs w:val="28"/>
        </w:rPr>
      </w:pPr>
    </w:p>
    <w:p w:rsidR="00E16B26" w:rsidRPr="00BE7760" w:rsidRDefault="00E16B26" w:rsidP="00E16B26">
      <w:pPr>
        <w:spacing w:line="360" w:lineRule="auto"/>
        <w:ind w:firstLine="720"/>
        <w:jc w:val="both"/>
        <w:rPr>
          <w:sz w:val="28"/>
          <w:szCs w:val="28"/>
        </w:rPr>
      </w:pPr>
    </w:p>
    <w:p w:rsidR="00E16B26" w:rsidRPr="00BE7760" w:rsidRDefault="00E16B26" w:rsidP="00E16B26">
      <w:pPr>
        <w:spacing w:line="360" w:lineRule="auto"/>
        <w:ind w:firstLine="720"/>
        <w:jc w:val="both"/>
        <w:rPr>
          <w:sz w:val="28"/>
          <w:szCs w:val="28"/>
        </w:rPr>
      </w:pPr>
    </w:p>
    <w:p w:rsidR="00E16B26" w:rsidRPr="00BE7760" w:rsidRDefault="00E16B26" w:rsidP="00E16B26">
      <w:pPr>
        <w:spacing w:line="360" w:lineRule="auto"/>
        <w:ind w:firstLine="720"/>
        <w:jc w:val="both"/>
        <w:rPr>
          <w:sz w:val="28"/>
          <w:szCs w:val="28"/>
        </w:rPr>
      </w:pPr>
    </w:p>
    <w:p w:rsidR="00E16B26" w:rsidRPr="00BE7760" w:rsidRDefault="00E16B26" w:rsidP="00E16B26">
      <w:pPr>
        <w:spacing w:line="360" w:lineRule="auto"/>
        <w:ind w:firstLine="720"/>
        <w:jc w:val="both"/>
        <w:rPr>
          <w:sz w:val="28"/>
          <w:szCs w:val="28"/>
        </w:rPr>
      </w:pPr>
    </w:p>
    <w:p w:rsidR="00E16B26" w:rsidRPr="00BE7760" w:rsidRDefault="00E16B26" w:rsidP="00E16B26">
      <w:pPr>
        <w:spacing w:line="360" w:lineRule="auto"/>
        <w:ind w:firstLine="720"/>
        <w:jc w:val="both"/>
        <w:rPr>
          <w:sz w:val="28"/>
          <w:szCs w:val="28"/>
        </w:rPr>
      </w:pPr>
    </w:p>
    <w:p w:rsidR="00E16B26" w:rsidRPr="00BE7760" w:rsidRDefault="00E16B26" w:rsidP="00E16B26">
      <w:pPr>
        <w:spacing w:line="360" w:lineRule="auto"/>
        <w:ind w:firstLine="720"/>
        <w:jc w:val="both"/>
        <w:rPr>
          <w:sz w:val="28"/>
          <w:szCs w:val="28"/>
        </w:rPr>
      </w:pPr>
    </w:p>
    <w:p w:rsidR="00E16B26" w:rsidRPr="00BE7760" w:rsidRDefault="00E16B26" w:rsidP="00E16B26">
      <w:pPr>
        <w:spacing w:line="360" w:lineRule="auto"/>
        <w:ind w:firstLine="720"/>
        <w:jc w:val="both"/>
        <w:rPr>
          <w:sz w:val="28"/>
          <w:szCs w:val="28"/>
        </w:rPr>
      </w:pPr>
    </w:p>
    <w:p w:rsidR="00E16B26" w:rsidRPr="00BE7760" w:rsidRDefault="00E16B26" w:rsidP="00E16B26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lastRenderedPageBreak/>
        <w:t>Корпоратив ахборот тизимининг бошқариш тизимини тахлиллаш. У</w:t>
      </w:r>
      <w:r w:rsidRPr="00BE7760">
        <w:rPr>
          <w:sz w:val="28"/>
          <w:szCs w:val="28"/>
        </w:rPr>
        <w:t>ш</w:t>
      </w:r>
      <w:r w:rsidRPr="00BE7760">
        <w:rPr>
          <w:sz w:val="28"/>
          <w:szCs w:val="28"/>
        </w:rPr>
        <w:t>бу босқичда бошқариш, тизими, аниқланган тахдидларга ва заифликларга жоиз бўлган таъсир нуқтаи назаридан тахлилланади.</w:t>
      </w:r>
    </w:p>
    <w:p w:rsidR="00E16B26" w:rsidRPr="00BE7760" w:rsidRDefault="00E16B26" w:rsidP="00E16B26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Тахдидлар параметрларини баҳолаш. Ушбу босқичда ходисага олиб келувчи заифликнинг амалга оширилиши имконияти баҳоланади. Баҳолашнинг намунавий шкаласи – бир неча рутбали (масалан, паст, ўрта, ва юқори сатҳ) сифатий (балли) шкаладир. Бундай баҳо эксперт томонидан мавжуд объектив факторларни ҳисобга олган ҳолда берилади.</w:t>
      </w:r>
    </w:p>
    <w:p w:rsidR="00E16B26" w:rsidRPr="00BE7760" w:rsidRDefault="00E16B26" w:rsidP="00E16B26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Ахборот хавфсизлиги режимининг бузилиши оқибатларини тахлиллаш. Ушбу босқичда ахборот хавфсизлиги режимининг бузилиши баҳоси аниқланади. Буз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лиш оқибатлари молиявий йўқотишларга, обрўсизланишга, расмий структуралар томонидан кўнгилсизликларга ва ҳ. сабаб бўлиши му</w:t>
      </w:r>
      <w:r w:rsidRPr="00BE7760">
        <w:rPr>
          <w:sz w:val="28"/>
          <w:szCs w:val="28"/>
        </w:rPr>
        <w:t>м</w:t>
      </w:r>
      <w:r w:rsidRPr="00BE7760">
        <w:rPr>
          <w:sz w:val="28"/>
          <w:szCs w:val="28"/>
        </w:rPr>
        <w:t>кин. Бузилиш оқибатларини баҳолаш учун мезонлар тизими танланади ва оқибатлар оғирлигини баҳолаш учун интеграцияланган шкала белгилан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ди.</w:t>
      </w:r>
    </w:p>
    <w:p w:rsidR="00E16B26" w:rsidRPr="00BE7760" w:rsidRDefault="00E16B26" w:rsidP="00E16B26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Хавф-хатарларни баҳолаш. Ушбу босқичда ахборот ресурслари ха</w:t>
      </w:r>
      <w:r w:rsidRPr="00BE7760">
        <w:rPr>
          <w:sz w:val="28"/>
          <w:szCs w:val="28"/>
        </w:rPr>
        <w:t>в</w:t>
      </w:r>
      <w:r w:rsidRPr="00BE7760">
        <w:rPr>
          <w:sz w:val="28"/>
          <w:szCs w:val="28"/>
        </w:rPr>
        <w:t>фсизлигининг бузилиши хавф-хатар даражаси баҳоланади. Хавф-хатар дар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жаси қиймати тахдидлар, заифликлар даражасига ва бўлиши мумкин бўлган оқибатлар оғирлигига боғлиқ. Хавф-хатарларни баҳолашда сифатий ва миқдорий усуллардан фойдалан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лади. Сифатий усул ишлатилганда ахборот хавфсизлиги бузилишининг бўлиши мумкин бўлган хавф-хатарлар хавфл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лиги даражаси бўйича рутбаланиши лозим. Миқдорий усул ишлатилганда хавф-хатарлар миқдорий шкалаларда баҳоланиши мумкин. Бу тавсия этил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ётган қарши чораларнинг нарҳи/самарадорлигини тахлиллашни осонлашт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ради. Аммо бу ҳолда дастлабки маълумотларни ўлчаш шкалаларига ва ишл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тилаётган моделнинг адекватлигига жуда юқори талаблар қуйилади. О</w:t>
      </w:r>
      <w:r w:rsidRPr="00BE7760">
        <w:rPr>
          <w:sz w:val="28"/>
          <w:szCs w:val="28"/>
        </w:rPr>
        <w:t>д</w:t>
      </w:r>
      <w:r w:rsidRPr="00BE7760">
        <w:rPr>
          <w:sz w:val="28"/>
          <w:szCs w:val="28"/>
        </w:rPr>
        <w:t>дий ҳолда хавф-хатарни баҳолашда иккита омил-ходиса эхтимоллиги ва бўлиши мумкин бўлган оқибатлар оғирлиги ишлатилиши мумкин.</w:t>
      </w:r>
    </w:p>
    <w:p w:rsidR="00E16B26" w:rsidRPr="00BE7760" w:rsidRDefault="00E16B26" w:rsidP="00E16B26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lastRenderedPageBreak/>
        <w:t>Хавф-хатарларни бошқариш бўйича тавсияларни ишлаб чиқиш. Ушбу босқичда турли сатҳлар (ташкилий, дастурий-техник) ва хавфсизликнинг алоҳида жиҳатлари бўйича структуризацияланган қарши чораларнинг комплекси тавсия эт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лиши лозим. Таклиф этилувчи қарши чоралар комплекси хавф-хатарларни бошқаришнинг танланган стратегиясига биноан қурилади.</w:t>
      </w:r>
    </w:p>
    <w:p w:rsidR="00E16B26" w:rsidRPr="00BE7760" w:rsidRDefault="00E16B26" w:rsidP="00E16B26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Ҳисобот хужжатларни ишлаб чиқиш. Ушбу босқичда хавф-хатарларни тахлиллаш ва бошқаришнинг барча босқичлари бўйича иш натижалари ак</w:t>
      </w:r>
      <w:r w:rsidRPr="00BE7760">
        <w:rPr>
          <w:sz w:val="28"/>
          <w:szCs w:val="28"/>
        </w:rPr>
        <w:t>с</w:t>
      </w:r>
      <w:r w:rsidRPr="00BE7760">
        <w:rPr>
          <w:sz w:val="28"/>
          <w:szCs w:val="28"/>
        </w:rPr>
        <w:t>лантирилган ҳисобот хужжатлари тайёрланади.</w:t>
      </w:r>
    </w:p>
    <w:p w:rsidR="00E16B26" w:rsidRPr="00BE7760" w:rsidRDefault="00E16B26" w:rsidP="00E16B26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Таъкидлаш лозимки, ҳозирда ахборот хавф-хатарларини баҳолашни автома</w:t>
      </w:r>
      <w:r w:rsidRPr="00BE7760">
        <w:rPr>
          <w:sz w:val="28"/>
          <w:szCs w:val="28"/>
        </w:rPr>
        <w:t>т</w:t>
      </w:r>
      <w:r w:rsidRPr="00BE7760">
        <w:rPr>
          <w:sz w:val="28"/>
          <w:szCs w:val="28"/>
        </w:rPr>
        <w:t>лаштириш мақсадида дастурий маҳсулотлар ишлаб чиқилган.</w:t>
      </w:r>
    </w:p>
    <w:p w:rsidR="00C53144" w:rsidRDefault="00C53144"/>
    <w:sectPr w:rsidR="00C53144" w:rsidSect="00C531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16B26"/>
    <w:rsid w:val="00384834"/>
    <w:rsid w:val="0040613A"/>
    <w:rsid w:val="008D4083"/>
    <w:rsid w:val="00A93C87"/>
    <w:rsid w:val="00B10225"/>
    <w:rsid w:val="00C53144"/>
    <w:rsid w:val="00C53F18"/>
    <w:rsid w:val="00D574A8"/>
    <w:rsid w:val="00E16B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B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1271</Words>
  <Characters>7246</Characters>
  <Application>Microsoft Office Word</Application>
  <DocSecurity>0</DocSecurity>
  <Lines>60</Lines>
  <Paragraphs>16</Paragraphs>
  <ScaleCrop>false</ScaleCrop>
  <Company/>
  <LinksUpToDate>false</LinksUpToDate>
  <CharactersWithSpaces>8501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2012-09-22T07:10:00Z</dcterms:created>
  <dcterms:modified xsi:type="dcterms:W3CDTF">2012-09-22T07:11:00Z</dcterms:modified>
</cp:coreProperties>
</file>